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jc w:val="center"/>
      </w:pPr>
      <w:r>
        <w:rPr>
          <w:rFonts w:ascii="Times New Roman" w:hAnsi="Times New Roman" w:eastAsia="黑体"/>
          <w:b/>
          <w:sz w:val="36"/>
        </w:rPr>
        <w:t>账 户 托 付 与 信 息 披 露 告 知 书</w:t>
      </w:r>
    </w:p>
    <w:p>
      <w:pPr>
        <w:spacing w:line="360" w:lineRule="auto" w:after="320"/>
        <w:jc w:val="center"/>
      </w:pPr>
      <w:r>
        <w:rPr>
          <w:rFonts w:ascii="Times New Roman" w:hAnsi="Times New Roman" w:eastAsia="宋体"/>
          <w:b w:val="0"/>
          <w:sz w:val="22"/>
        </w:rPr>
        <w:t>启元数字科技（深圳）有限公司 向启元存证平台用户作出的账户安全保障告知</w:t>
      </w:r>
    </w:p>
    <w:p>
      <w:pPr>
        <w:spacing w:line="360" w:lineRule="auto" w:after="80"/>
        <w:jc w:val="both"/>
      </w:pPr>
      <w:r>
        <w:rPr>
          <w:rFonts w:ascii="Times New Roman" w:hAnsi="Times New Roman" w:eastAsia="宋体"/>
          <w:b w:val="0"/>
          <w:sz w:val="24"/>
        </w:rPr>
        <w:t>亲爱的启元存证平台用户：</w:t>
      </w:r>
    </w:p>
    <w:p>
      <w:pPr>
        <w:spacing w:line="360" w:lineRule="auto" w:after="120"/>
        <w:ind w:firstLine="480"/>
        <w:jc w:val="both"/>
      </w:pPr>
      <w:r>
        <w:rPr>
          <w:rFonts w:ascii="Times New Roman" w:hAnsi="Times New Roman" w:eastAsia="宋体"/>
          <w:b w:val="0"/>
          <w:sz w:val="24"/>
        </w:rPr>
        <w:t xml:space="preserve">　本告知书依据《中华人民共和国个人信息保护法》（以下简称“PIPL”）第17条、第49条及《委托存证服务合同》第4条制定，旨在向您完整披露“账户托付”机制的法律含义、权利边界与注意事项，请您在签署《账户托付授权书》前认真阅读并理解。</w:t>
      </w:r>
    </w:p>
    <w:p>
      <w:pPr>
        <w:spacing w:line="360" w:lineRule="auto" w:after="80"/>
        <w:jc w:val="left"/>
      </w:pPr>
      <w:r>
        <w:rPr>
          <w:rFonts w:ascii="Times New Roman" w:hAnsi="Times New Roman" w:eastAsia="黑体"/>
          <w:b/>
          <w:sz w:val="26"/>
        </w:rPr>
        <w:t>一、PIPL 第 49 条的完整含义（法律依据）</w:t>
      </w:r>
    </w:p>
    <w:p>
      <w:pPr>
        <w:spacing w:line="360" w:lineRule="auto" w:after="120"/>
        <w:ind w:firstLine="480"/>
        <w:jc w:val="both"/>
      </w:pPr>
      <w:r>
        <w:rPr>
          <w:rFonts w:ascii="Times New Roman" w:hAnsi="Times New Roman" w:eastAsia="宋体"/>
          <w:b/>
          <w:sz w:val="24"/>
        </w:rPr>
        <w:t>1.1</w:t>
      </w:r>
      <w:r>
        <w:rPr>
          <w:rFonts w:ascii="Times New Roman" w:hAnsi="Times New Roman" w:eastAsia="宋体"/>
          <w:b w:val="0"/>
          <w:sz w:val="24"/>
        </w:rPr>
        <w:t xml:space="preserve">　PIPL 第 49 条原文：自然人死亡的，其近亲属为了自身的合法、正当利益，可以对死者的相关个人信息行使本章规定的查阅、复制、更正、删除、注销账号等权利；死者生前另有安排的除外。</w:t>
      </w:r>
    </w:p>
    <w:p>
      <w:pPr>
        <w:spacing w:line="360" w:lineRule="auto" w:after="120"/>
        <w:ind w:firstLine="480"/>
        <w:jc w:val="both"/>
      </w:pPr>
      <w:r>
        <w:rPr>
          <w:rFonts w:ascii="Times New Roman" w:hAnsi="Times New Roman" w:eastAsia="宋体"/>
          <w:b/>
          <w:sz w:val="24"/>
        </w:rPr>
        <w:t>1.2</w:t>
      </w:r>
      <w:r>
        <w:rPr>
          <w:rFonts w:ascii="Times New Roman" w:hAnsi="Times New Roman" w:eastAsia="宋体"/>
          <w:b w:val="0"/>
          <w:sz w:val="24"/>
        </w:rPr>
        <w:t xml:space="preserve">　本条的核心逻辑：默认情况下，自然人无法自主管理账户的情形发生后（包括身故、失踪、丧失民事行为能力等），其近亲属有权处理其个人信息。但如果该自然人在无法自主管理账户之前有明确、具体、可验证的“另有安排”（例如指定某个账户托付人而非近亲属、或指定不允许任何人处理），则该安排“优先于”近亲属的法定权利。</w:t>
      </w:r>
    </w:p>
    <w:p>
      <w:pPr>
        <w:spacing w:line="360" w:lineRule="auto" w:after="120"/>
        <w:ind w:firstLine="480"/>
        <w:jc w:val="both"/>
      </w:pPr>
      <w:r>
        <w:rPr>
          <w:rFonts w:ascii="Times New Roman" w:hAnsi="Times New Roman" w:eastAsia="宋体"/>
          <w:b/>
          <w:sz w:val="24"/>
        </w:rPr>
        <w:t>1.3</w:t>
      </w:r>
      <w:r>
        <w:rPr>
          <w:rFonts w:ascii="Times New Roman" w:hAnsi="Times New Roman" w:eastAsia="宋体"/>
          <w:b w:val="0"/>
          <w:sz w:val="24"/>
        </w:rPr>
        <w:t xml:space="preserve">　您签署的《账户托付授权书》，正是在行使 PIPL 第 49 条规定的“账户安全自主安排权”——您指定的账户托付人，将在托付生效条件成就后，获得处理您启元存证账户信息的权限，且该权限“优先于”您的近亲属。</w:t>
      </w:r>
    </w:p>
    <w:p>
      <w:pPr>
        <w:spacing w:line="360" w:lineRule="auto" w:after="80"/>
        <w:jc w:val="left"/>
      </w:pPr>
      <w:r>
        <w:rPr>
          <w:rFonts w:ascii="Times New Roman" w:hAnsi="Times New Roman" w:eastAsia="黑体"/>
          <w:b/>
          <w:sz w:val="26"/>
        </w:rPr>
        <w:t>二、本托付授权涉及的个人信息处理说明</w:t>
      </w:r>
    </w:p>
    <w:p>
      <w:pPr>
        <w:spacing w:line="360" w:lineRule="auto" w:after="80"/>
        <w:jc w:val="left"/>
      </w:pPr>
      <w:r>
        <w:rPr>
          <w:rFonts w:ascii="Times New Roman" w:hAnsi="Times New Roman" w:eastAsia="黑体"/>
          <w:b/>
          <w:sz w:val="22"/>
        </w:rPr>
        <w:t>【会被披露的信息】</w:t>
      </w:r>
    </w:p>
    <w:p>
      <w:pPr>
        <w:spacing w:line="360" w:lineRule="auto" w:after="120"/>
        <w:jc w:val="both"/>
      </w:pPr>
      <w:r>
        <w:rPr>
          <w:rFonts w:ascii="Times New Roman" w:hAnsi="Times New Roman" w:eastAsia="宋体"/>
          <w:b w:val="0"/>
          <w:sz w:val="24"/>
        </w:rPr>
        <w:t>□  账户基本信息：账户 ID、注册手机号、邮箱、版本档位</w:t>
      </w:r>
    </w:p>
    <w:p>
      <w:pPr>
        <w:spacing w:line="360" w:lineRule="auto" w:after="120"/>
        <w:jc w:val="both"/>
      </w:pPr>
      <w:r>
        <w:rPr>
          <w:rFonts w:ascii="Times New Roman" w:hAnsi="Times New Roman" w:eastAsia="宋体"/>
          <w:b w:val="0"/>
          <w:sz w:val="24"/>
        </w:rPr>
        <w:t>□  存证记录：每条存证的文件名（或哈希摘要）、存证时间、链上哈希值、存证所在区块链的区块高度</w:t>
      </w:r>
    </w:p>
    <w:p>
      <w:pPr>
        <w:spacing w:line="360" w:lineRule="auto" w:after="120"/>
        <w:jc w:val="both"/>
      </w:pPr>
      <w:r>
        <w:rPr>
          <w:rFonts w:ascii="Times New Roman" w:hAnsi="Times New Roman" w:eastAsia="宋体"/>
          <w:b w:val="0"/>
          <w:sz w:val="24"/>
        </w:rPr>
        <w:t>□  资产元数据（仅在付费档位）：您上传的资产快照中的文件路径、账户号码（脱敏）、资产类型标签</w:t>
      </w:r>
    </w:p>
    <w:p>
      <w:pPr>
        <w:spacing w:line="360" w:lineRule="auto" w:after="120"/>
        <w:jc w:val="both"/>
      </w:pPr>
      <w:r>
        <w:rPr>
          <w:rFonts w:ascii="Times New Roman" w:hAnsi="Times New Roman" w:eastAsia="宋体"/>
          <w:b w:val="0"/>
          <w:sz w:val="24"/>
        </w:rPr>
        <w:t>□  托付触发记录：定期签到记录、登录日志、服务包购买记录</w:t>
      </w:r>
    </w:p>
    <w:p>
      <w:pPr>
        <w:spacing w:line="360" w:lineRule="auto" w:after="120"/>
        <w:jc w:val="both"/>
      </w:pPr>
      <w:r>
        <w:rPr>
          <w:rFonts w:ascii="Times New Roman" w:hAnsi="Times New Roman" w:eastAsia="宋体"/>
          <w:b w:val="0"/>
          <w:sz w:val="24"/>
        </w:rPr>
        <w:t>□  链上证据包：Merkle proof 路径证据、可信时间戳</w:t>
      </w:r>
    </w:p>
    <w:p>
      <w:pPr>
        <w:spacing w:line="360" w:lineRule="auto" w:after="80"/>
        <w:jc w:val="left"/>
      </w:pPr>
      <w:r>
        <w:rPr>
          <w:rFonts w:ascii="Times New Roman" w:hAnsi="Times New Roman" w:eastAsia="黑体"/>
          <w:b/>
          <w:sz w:val="22"/>
        </w:rPr>
        <w:t>【不会被披露的信息】</w:t>
      </w:r>
    </w:p>
    <w:p>
      <w:pPr>
        <w:spacing w:line="360" w:lineRule="auto" w:after="120"/>
        <w:jc w:val="both"/>
      </w:pPr>
      <w:r>
        <w:rPr>
          <w:rFonts w:ascii="Times New Roman" w:hAnsi="Times New Roman" w:eastAsia="宋体"/>
          <w:b w:val="0"/>
          <w:sz w:val="24"/>
        </w:rPr>
        <w:t>■  原始文件内容（仅上传哈希、不上传原文件）</w:t>
      </w:r>
    </w:p>
    <w:p>
      <w:pPr>
        <w:spacing w:line="360" w:lineRule="auto" w:after="120"/>
        <w:jc w:val="both"/>
      </w:pPr>
      <w:r>
        <w:rPr>
          <w:rFonts w:ascii="Times New Roman" w:hAnsi="Times New Roman" w:eastAsia="宋体"/>
          <w:b w:val="0"/>
          <w:sz w:val="24"/>
        </w:rPr>
        <w:t>■  未存证的本地文件内容</w:t>
      </w:r>
    </w:p>
    <w:p>
      <w:pPr>
        <w:spacing w:line="360" w:lineRule="auto" w:after="120"/>
        <w:jc w:val="both"/>
      </w:pPr>
      <w:r>
        <w:rPr>
          <w:rFonts w:ascii="Times New Roman" w:hAnsi="Times New Roman" w:eastAsia="宋体"/>
          <w:b w:val="0"/>
          <w:sz w:val="24"/>
        </w:rPr>
        <w:t>■  您在启元平台的密码、支付方式、完整账户号码</w:t>
      </w:r>
    </w:p>
    <w:p>
      <w:pPr>
        <w:spacing w:line="360" w:lineRule="auto" w:after="120"/>
        <w:jc w:val="both"/>
      </w:pPr>
      <w:r>
        <w:rPr>
          <w:rFonts w:ascii="Times New Roman" w:hAnsi="Times New Roman" w:eastAsia="宋体"/>
          <w:b w:val="0"/>
          <w:sz w:val="24"/>
        </w:rPr>
        <w:t>■  您未授权给账户托付人的其他个人信息（医疗记录、社交隐私、位置信息等）</w:t>
      </w:r>
    </w:p>
    <w:p>
      <w:pPr>
        <w:spacing w:line="360" w:lineRule="auto" w:after="120"/>
        <w:jc w:val="both"/>
      </w:pPr>
      <w:r>
        <w:rPr>
          <w:rFonts w:ascii="Times New Roman" w:hAnsi="Times New Roman" w:eastAsia="宋体"/>
          <w:b w:val="0"/>
          <w:sz w:val="24"/>
        </w:rPr>
        <w:t>■  其他与本托付无关的个人敏感信息</w:t>
      </w:r>
    </w:p>
    <w:p>
      <w:pPr>
        <w:spacing w:line="360" w:lineRule="auto" w:after="80"/>
        <w:jc w:val="left"/>
      </w:pPr>
      <w:r>
        <w:rPr>
          <w:rFonts w:ascii="Times New Roman" w:hAnsi="Times New Roman" w:eastAsia="黑体"/>
          <w:b/>
          <w:sz w:val="26"/>
        </w:rPr>
        <w:t>三、托付三方权利义务</w:t>
      </w:r>
    </w:p>
    <w:p>
      <w:pPr>
        <w:spacing w:line="360" w:lineRule="auto" w:after="80"/>
        <w:jc w:val="left"/>
      </w:pPr>
      <w:r>
        <w:rPr>
          <w:rFonts w:ascii="Times New Roman" w:hAnsi="Times New Roman" w:eastAsia="黑体"/>
          <w:b/>
          <w:sz w:val="22"/>
        </w:rPr>
        <w:t>【启元平台】</w:t>
      </w:r>
    </w:p>
    <w:p>
      <w:pPr>
        <w:spacing w:line="360" w:lineRule="auto" w:after="120"/>
        <w:jc w:val="both"/>
      </w:pPr>
      <w:r>
        <w:rPr>
          <w:rFonts w:ascii="Times New Roman" w:hAnsi="Times New Roman" w:eastAsia="宋体"/>
          <w:b w:val="0"/>
          <w:sz w:val="24"/>
        </w:rPr>
        <w:t>● 负责核实账户托付人身份与托付生效条件</w:t>
      </w:r>
    </w:p>
    <w:p>
      <w:pPr>
        <w:spacing w:line="360" w:lineRule="auto" w:after="120"/>
        <w:jc w:val="both"/>
      </w:pPr>
      <w:r>
        <w:rPr>
          <w:rFonts w:ascii="Times New Roman" w:hAnsi="Times New Roman" w:eastAsia="宋体"/>
          <w:b w:val="0"/>
          <w:sz w:val="24"/>
        </w:rPr>
        <w:t>● 负责向账户托付人交付授权范围内的链上哈希证据与资产元数据</w:t>
      </w:r>
    </w:p>
    <w:p>
      <w:pPr>
        <w:spacing w:line="360" w:lineRule="auto" w:after="120"/>
        <w:jc w:val="both"/>
      </w:pPr>
      <w:r>
        <w:rPr>
          <w:rFonts w:ascii="Times New Roman" w:hAnsi="Times New Roman" w:eastAsia="宋体"/>
          <w:b w:val="0"/>
          <w:sz w:val="24"/>
        </w:rPr>
        <w:t>● 不参与账户托付人与外部平台的对接行为，不对外部平台的配合度作出任何保证</w:t>
      </w:r>
    </w:p>
    <w:p>
      <w:pPr>
        <w:spacing w:line="360" w:lineRule="auto" w:after="120"/>
        <w:jc w:val="both"/>
      </w:pPr>
      <w:r>
        <w:rPr>
          <w:rFonts w:ascii="Times New Roman" w:hAnsi="Times New Roman" w:eastAsia="宋体"/>
          <w:b w:val="0"/>
          <w:sz w:val="24"/>
        </w:rPr>
        <w:t>● 不审查账户托付人提交给外部平台的材料内容合法性</w:t>
      </w:r>
    </w:p>
    <w:p>
      <w:pPr>
        <w:spacing w:line="360" w:lineRule="auto" w:after="120"/>
        <w:jc w:val="both"/>
      </w:pPr>
      <w:r>
        <w:rPr>
          <w:rFonts w:ascii="Times New Roman" w:hAnsi="Times New Roman" w:eastAsia="宋体"/>
          <w:b w:val="0"/>
          <w:sz w:val="24"/>
        </w:rPr>
        <w:t>● 有权对账户托付人行使授权过程进行合规性审查，发现账户托付人存在超范围使用账户权限情形时有权中止或终止交付</w:t>
      </w:r>
    </w:p>
    <w:p>
      <w:pPr>
        <w:spacing w:line="360" w:lineRule="auto" w:after="80"/>
        <w:jc w:val="left"/>
      </w:pPr>
      <w:r>
        <w:rPr>
          <w:rFonts w:ascii="Times New Roman" w:hAnsi="Times New Roman" w:eastAsia="黑体"/>
          <w:b/>
          <w:sz w:val="22"/>
        </w:rPr>
        <w:t>【您（托付人）】</w:t>
      </w:r>
    </w:p>
    <w:p>
      <w:pPr>
        <w:spacing w:line="360" w:lineRule="auto" w:after="120"/>
        <w:jc w:val="both"/>
      </w:pPr>
      <w:r>
        <w:rPr>
          <w:rFonts w:ascii="Times New Roman" w:hAnsi="Times New Roman" w:eastAsia="宋体"/>
          <w:b w:val="0"/>
          <w:sz w:val="24"/>
        </w:rPr>
        <w:t>● 负责准确填写账户托付人信息、确保账户托付人身份真实有效</w:t>
      </w:r>
    </w:p>
    <w:p>
      <w:pPr>
        <w:spacing w:line="360" w:lineRule="auto" w:after="120"/>
        <w:jc w:val="both"/>
      </w:pPr>
      <w:r>
        <w:rPr>
          <w:rFonts w:ascii="Times New Roman" w:hAnsi="Times New Roman" w:eastAsia="宋体"/>
          <w:b w:val="0"/>
          <w:sz w:val="24"/>
        </w:rPr>
        <w:t>● 负责告知账户托付人其授权范围、托付生效条件与法律后果</w:t>
      </w:r>
    </w:p>
    <w:p>
      <w:pPr>
        <w:spacing w:line="360" w:lineRule="auto" w:after="120"/>
        <w:jc w:val="both"/>
      </w:pPr>
      <w:r>
        <w:rPr>
          <w:rFonts w:ascii="Times New Roman" w:hAnsi="Times New Roman" w:eastAsia="宋体"/>
          <w:b w:val="0"/>
          <w:sz w:val="24"/>
        </w:rPr>
        <w:t>● 可随时撤回授权（托付生效后撤回权消灭）</w:t>
      </w:r>
    </w:p>
    <w:p>
      <w:pPr>
        <w:spacing w:line="360" w:lineRule="auto" w:after="120"/>
        <w:jc w:val="both"/>
      </w:pPr>
      <w:r>
        <w:rPr>
          <w:rFonts w:ascii="Times New Roman" w:hAnsi="Times New Roman" w:eastAsia="宋体"/>
          <w:b w:val="0"/>
          <w:sz w:val="24"/>
        </w:rPr>
        <w:t>● 如账户托付人信息变更，须及时书面更新</w:t>
      </w:r>
    </w:p>
    <w:p>
      <w:pPr>
        <w:spacing w:line="360" w:lineRule="auto" w:after="80"/>
        <w:jc w:val="left"/>
      </w:pPr>
      <w:r>
        <w:rPr>
          <w:rFonts w:ascii="Times New Roman" w:hAnsi="Times New Roman" w:eastAsia="黑体"/>
          <w:b/>
          <w:sz w:val="22"/>
        </w:rPr>
        <w:t>【账户托付人】</w:t>
      </w:r>
    </w:p>
    <w:p>
      <w:pPr>
        <w:spacing w:line="360" w:lineRule="auto" w:after="120"/>
        <w:jc w:val="both"/>
      </w:pPr>
      <w:r>
        <w:rPr>
          <w:rFonts w:ascii="Times New Roman" w:hAnsi="Times New Roman" w:eastAsia="宋体"/>
          <w:b w:val="0"/>
          <w:sz w:val="24"/>
        </w:rPr>
        <w:t>● 必须在托付生效条件成就后主动出示证明材料，否则无权获取任何信息</w:t>
      </w:r>
    </w:p>
    <w:p>
      <w:pPr>
        <w:spacing w:line="360" w:lineRule="auto" w:after="120"/>
        <w:jc w:val="both"/>
      </w:pPr>
      <w:r>
        <w:rPr>
          <w:rFonts w:ascii="Times New Roman" w:hAnsi="Times New Roman" w:eastAsia="宋体"/>
          <w:b w:val="0"/>
          <w:sz w:val="24"/>
        </w:rPr>
        <w:t>● 仅能在授权范围内行使权利，不得超出清单所列范围</w:t>
      </w:r>
    </w:p>
    <w:p>
      <w:pPr>
        <w:spacing w:line="360" w:lineRule="auto" w:after="120"/>
        <w:jc w:val="both"/>
      </w:pPr>
      <w:r>
        <w:rPr>
          <w:rFonts w:ascii="Times New Roman" w:hAnsi="Times New Roman" w:eastAsia="宋体"/>
          <w:b w:val="0"/>
          <w:sz w:val="24"/>
        </w:rPr>
        <w:t>● 对获取的信息承担保密义务，不得用于本托付之外的任何目的</w:t>
      </w:r>
    </w:p>
    <w:p>
      <w:pPr>
        <w:spacing w:line="360" w:lineRule="auto" w:after="120"/>
        <w:jc w:val="both"/>
      </w:pPr>
      <w:r>
        <w:rPr>
          <w:rFonts w:ascii="Times New Roman" w:hAnsi="Times New Roman" w:eastAsia="宋体"/>
          <w:b w:val="0"/>
          <w:sz w:val="24"/>
        </w:rPr>
        <w:t>● 如存在超范围使用账户权限情形，须依法承担相应的民事、行政甚至刑事责任</w:t>
      </w:r>
    </w:p>
    <w:p>
      <w:pPr>
        <w:spacing w:line="360" w:lineRule="auto" w:after="80"/>
        <w:jc w:val="left"/>
      </w:pPr>
      <w:r>
        <w:rPr>
          <w:rFonts w:ascii="Times New Roman" w:hAnsi="Times New Roman" w:eastAsia="黑体"/>
          <w:b/>
          <w:sz w:val="26"/>
        </w:rPr>
        <w:t>四、托付生效后的具体流程</w:t>
      </w:r>
    </w:p>
    <w:p>
      <w:pPr>
        <w:spacing w:line="360" w:lineRule="auto" w:after="120"/>
        <w:jc w:val="both"/>
      </w:pPr>
      <w:r>
        <w:rPr>
          <w:rFonts w:ascii="Times New Roman" w:hAnsi="Times New Roman" w:eastAsia="宋体"/>
          <w:b w:val="0"/>
          <w:sz w:val="24"/>
        </w:rPr>
        <w:t>第 1 步：托付生效条件成就（身故 / 失踪 / 无民事行为能力 / 连续 6 个月无法联系）</w:t>
      </w:r>
    </w:p>
    <w:p>
      <w:pPr>
        <w:spacing w:line="360" w:lineRule="auto" w:after="120"/>
        <w:jc w:val="both"/>
      </w:pPr>
      <w:r>
        <w:rPr>
          <w:rFonts w:ascii="Times New Roman" w:hAnsi="Times New Roman" w:eastAsia="宋体"/>
          <w:b w:val="0"/>
          <w:sz w:val="24"/>
        </w:rPr>
        <w:t>第 2 步：账户托付人向启元提交《托付生效申请》，附带：授权书原件、托付生效事件证明材料、账户托付人身份证明</w:t>
      </w:r>
    </w:p>
    <w:p>
      <w:pPr>
        <w:spacing w:line="360" w:lineRule="auto" w:after="120"/>
        <w:jc w:val="both"/>
      </w:pPr>
      <w:r>
        <w:rPr>
          <w:rFonts w:ascii="Times New Roman" w:hAnsi="Times New Roman" w:eastAsia="宋体"/>
          <w:b w:val="0"/>
          <w:sz w:val="24"/>
        </w:rPr>
        <w:t>第 3 步：启元在 10 个工作日内完成材料核实（包括与近亲属确认、与其他顺位托付人核实、对账户托付人进行实名认证）</w:t>
      </w:r>
    </w:p>
    <w:p>
      <w:pPr>
        <w:spacing w:line="360" w:lineRule="auto" w:after="120"/>
        <w:jc w:val="both"/>
      </w:pPr>
      <w:r>
        <w:rPr>
          <w:rFonts w:ascii="Times New Roman" w:hAnsi="Times New Roman" w:eastAsia="宋体"/>
          <w:b w:val="0"/>
          <w:sz w:val="24"/>
        </w:rPr>
        <w:t>第 4 步：核实通过后，启元向账户托付人交付授权范围内的信息。若核实过程中发现存在争议或疑点，启元有权暂停交付并要求账户托付人提供进一步材料</w:t>
      </w:r>
    </w:p>
    <w:p>
      <w:pPr>
        <w:spacing w:line="360" w:lineRule="auto" w:after="120"/>
        <w:jc w:val="both"/>
      </w:pPr>
      <w:r>
        <w:rPr>
          <w:rFonts w:ascii="Times New Roman" w:hAnsi="Times New Roman" w:eastAsia="宋体"/>
          <w:b w:val="0"/>
          <w:sz w:val="24"/>
        </w:rPr>
        <w:t>第 5 步：账户托付人可选择增值服务包（A/B/C/D），按合同约定付费后获取对应交付内容</w:t>
      </w:r>
    </w:p>
    <w:p>
      <w:pPr>
        <w:spacing w:line="360" w:lineRule="auto" w:after="80"/>
        <w:jc w:val="left"/>
      </w:pPr>
      <w:r>
        <w:rPr>
          <w:rFonts w:ascii="Times New Roman" w:hAnsi="Times New Roman" w:eastAsia="黑体"/>
          <w:b/>
          <w:sz w:val="26"/>
        </w:rPr>
        <w:t>五、托付前必读的五点说明</w:t>
      </w:r>
    </w:p>
    <w:p>
      <w:pPr>
        <w:spacing w:line="360" w:lineRule="auto" w:after="120"/>
        <w:ind w:firstLine="480"/>
        <w:jc w:val="both"/>
      </w:pPr>
      <w:r>
        <w:rPr>
          <w:rFonts w:ascii="Times New Roman" w:hAnsi="Times New Roman" w:eastAsia="宋体"/>
          <w:b/>
          <w:sz w:val="24"/>
        </w:rPr>
        <w:t>5.1</w:t>
      </w:r>
      <w:r>
        <w:rPr>
          <w:rFonts w:ascii="Times New Roman" w:hAnsi="Times New Roman" w:eastAsia="宋体"/>
          <w:b w:val="0"/>
          <w:sz w:val="24"/>
        </w:rPr>
        <w:t xml:space="preserve">　“账户托付人超范围使用账户的可能”账户托付人可能超出您授权的范围行事（例如向外部平台索要超出您授权的信息）。启元对此类超出授权的行为不承担任何责任，账户托付人须自行承担相应的法律后果。建议您选择您信任的账户托付人，并在授权书中列明具体的授权范围。</w:t>
      </w:r>
    </w:p>
    <w:p>
      <w:pPr>
        <w:spacing w:line="360" w:lineRule="auto" w:after="120"/>
        <w:ind w:firstLine="480"/>
        <w:jc w:val="both"/>
      </w:pPr>
      <w:r>
        <w:rPr>
          <w:rFonts w:ascii="Times New Roman" w:hAnsi="Times New Roman" w:eastAsia="宋体"/>
          <w:b/>
          <w:sz w:val="24"/>
        </w:rPr>
        <w:t>5.2</w:t>
      </w:r>
      <w:r>
        <w:rPr>
          <w:rFonts w:ascii="Times New Roman" w:hAnsi="Times New Roman" w:eastAsia="宋体"/>
          <w:b w:val="0"/>
          <w:sz w:val="24"/>
        </w:rPr>
        <w:t xml:space="preserve">　“外部平台不配合的可能”银行、交易所、互联网平台有权依据“客户隐私保护”拒绝向账户托付人披露账户信息。即使账户托付人持有您的生前授权书，外部平台仍可能拒绝配合——这是行业惯例，启元无法对抗。</w:t>
      </w:r>
    </w:p>
    <w:p>
      <w:pPr>
        <w:spacing w:line="360" w:lineRule="auto" w:after="120"/>
        <w:ind w:firstLine="480"/>
        <w:jc w:val="both"/>
      </w:pPr>
      <w:r>
        <w:rPr>
          <w:rFonts w:ascii="Times New Roman" w:hAnsi="Times New Roman" w:eastAsia="宋体"/>
          <w:b/>
          <w:sz w:val="24"/>
        </w:rPr>
        <w:t>5.3</w:t>
      </w:r>
      <w:r>
        <w:rPr>
          <w:rFonts w:ascii="Times New Roman" w:hAnsi="Times New Roman" w:eastAsia="宋体"/>
          <w:b w:val="0"/>
          <w:sz w:val="24"/>
        </w:rPr>
        <w:t xml:space="preserve">　“多顺位账户托付人同时申请的可能”如果多个顺位账户托付人同时提出申请，启元将按顺位顺序核实，顺位在前的账户托付人优先获得授权。顺位账户托付人之间的争议，启元不参与调解，由各顺位账户托付人自行协商或通过司法途径解决。</w:t>
      </w:r>
    </w:p>
    <w:p>
      <w:pPr>
        <w:spacing w:line="360" w:lineRule="auto" w:after="120"/>
        <w:ind w:firstLine="480"/>
        <w:jc w:val="both"/>
      </w:pPr>
      <w:r>
        <w:rPr>
          <w:rFonts w:ascii="Times New Roman" w:hAnsi="Times New Roman" w:eastAsia="宋体"/>
          <w:b/>
          <w:sz w:val="24"/>
        </w:rPr>
        <w:t>5.4</w:t>
      </w:r>
      <w:r>
        <w:rPr>
          <w:rFonts w:ascii="Times New Roman" w:hAnsi="Times New Roman" w:eastAsia="宋体"/>
          <w:b w:val="0"/>
          <w:sz w:val="24"/>
        </w:rPr>
        <w:t xml:space="preserve">　“近亲属可能对授权提出异议”如果您的近亲属对账户托付人的授权提出异议（例如主张您签署授权书时存在意思表示瑕疵），启元有权暂停交付并要求账户托付人通过司法途径确认授权有效性。</w:t>
      </w:r>
    </w:p>
    <w:p>
      <w:pPr>
        <w:spacing w:line="360" w:lineRule="auto" w:after="120"/>
        <w:ind w:firstLine="480"/>
        <w:jc w:val="both"/>
      </w:pPr>
      <w:r>
        <w:rPr>
          <w:rFonts w:ascii="Times New Roman" w:hAnsi="Times New Roman" w:eastAsia="宋体"/>
          <w:b/>
          <w:sz w:val="24"/>
        </w:rPr>
        <w:t>5.5</w:t>
      </w:r>
      <w:r>
        <w:rPr>
          <w:rFonts w:ascii="Times New Roman" w:hAnsi="Times New Roman" w:eastAsia="宋体"/>
          <w:b w:val="0"/>
          <w:sz w:val="24"/>
        </w:rPr>
        <w:t xml:space="preserve">　“建议您确认签署时的自主意愿”如果未来近亲属以您签署授权书时存在欺诈、胁迫、重大误解或无民事行为能力为由起诉，授权书的法律效力可能被法院撤销。因此，我们强烈建议您在签署授权书时有至少一名见证人在场，并保留签署过程的录像或公证记录。</w:t>
      </w:r>
    </w:p>
    <w:p>
      <w:pPr>
        <w:spacing w:line="360" w:lineRule="auto" w:after="80"/>
        <w:jc w:val="left"/>
      </w:pPr>
      <w:r>
        <w:rPr>
          <w:rFonts w:ascii="Times New Roman" w:hAnsi="Times New Roman" w:eastAsia="黑体"/>
          <w:b/>
          <w:sz w:val="26"/>
        </w:rPr>
        <w:t>六、撤回权再次确认</w:t>
      </w:r>
    </w:p>
    <w:p>
      <w:pPr>
        <w:spacing w:line="360" w:lineRule="auto" w:after="120"/>
        <w:ind w:firstLine="480"/>
        <w:jc w:val="both"/>
      </w:pPr>
      <w:r>
        <w:rPr>
          <w:rFonts w:ascii="Times New Roman" w:hAnsi="Times New Roman" w:eastAsia="宋体"/>
          <w:b/>
          <w:sz w:val="24"/>
        </w:rPr>
        <w:t>6.1</w:t>
      </w:r>
      <w:r>
        <w:rPr>
          <w:rFonts w:ascii="Times New Roman" w:hAnsi="Times New Roman" w:eastAsia="宋体"/>
          <w:b w:val="0"/>
          <w:sz w:val="24"/>
        </w:rPr>
        <w:t xml:space="preserve">　您有权在任何时候以书面形式撤回本授权书全部或部分账户托付人授权。撤回通知送达启元次日生效。</w:t>
      </w:r>
    </w:p>
    <w:p>
      <w:pPr>
        <w:spacing w:line="360" w:lineRule="auto" w:after="120"/>
        <w:ind w:firstLine="480"/>
        <w:jc w:val="both"/>
      </w:pPr>
      <w:r>
        <w:rPr>
          <w:rFonts w:ascii="Times New Roman" w:hAnsi="Times New Roman" w:eastAsia="宋体"/>
          <w:b/>
          <w:sz w:val="24"/>
        </w:rPr>
        <w:t>6.2</w:t>
      </w:r>
      <w:r>
        <w:rPr>
          <w:rFonts w:ascii="Times New Roman" w:hAnsi="Times New Roman" w:eastAsia="宋体"/>
          <w:b w:val="0"/>
          <w:sz w:val="24"/>
        </w:rPr>
        <w:t xml:space="preserve">　您可通过以下任一方式撤回：（一）启元客户端电子签撤回；（二）手写签名的撤回通知书扫描件发送至启元官方邮箱；（三）邮寄手写撤回通知书原件。</w:t>
      </w:r>
    </w:p>
    <w:p>
      <w:pPr>
        <w:spacing w:line="360" w:lineRule="auto" w:after="120"/>
        <w:ind w:firstLine="480"/>
        <w:jc w:val="both"/>
      </w:pPr>
      <w:r>
        <w:rPr>
          <w:rFonts w:ascii="Times New Roman" w:hAnsi="Times New Roman" w:eastAsia="宋体"/>
          <w:b/>
          <w:sz w:val="24"/>
        </w:rPr>
        <w:t>6.3</w:t>
      </w:r>
      <w:r>
        <w:rPr>
          <w:rFonts w:ascii="Times New Roman" w:hAnsi="Times New Roman" w:eastAsia="宋体"/>
          <w:b w:val="0"/>
          <w:sz w:val="24"/>
        </w:rPr>
        <w:t xml:space="preserve">　托付生效后，撤回权消灭。此时代理人已获得的授权不受任何单方撤回的影响。</w:t>
      </w:r>
    </w:p>
    <w:p>
      <w:pPr>
        <w:spacing w:line="360" w:lineRule="auto" w:after="120"/>
        <w:ind w:firstLine="480"/>
        <w:jc w:val="both"/>
      </w:pPr>
      <w:r>
        <w:rPr>
          <w:rFonts w:ascii="Times New Roman" w:hAnsi="Times New Roman" w:eastAsia="宋体"/>
          <w:b/>
          <w:sz w:val="24"/>
        </w:rPr>
        <w:t>6.4</w:t>
      </w:r>
      <w:r>
        <w:rPr>
          <w:rFonts w:ascii="Times New Roman" w:hAnsi="Times New Roman" w:eastAsia="宋体"/>
          <w:b w:val="0"/>
          <w:sz w:val="24"/>
        </w:rPr>
        <w:t xml:space="preserve">　如您选择撤回全部授权，启元将不接受任何账户托付人的后续托付生效申请，直到您重新指定账户托付人。</w:t>
      </w:r>
    </w:p>
    <w:p>
      <w:pPr>
        <w:spacing w:line="360" w:lineRule="auto" w:after="80"/>
        <w:jc w:val="left"/>
      </w:pPr>
      <w:r>
        <w:rPr>
          <w:rFonts w:ascii="Times New Roman" w:hAnsi="Times New Roman" w:eastAsia="黑体"/>
          <w:b/>
          <w:sz w:val="26"/>
        </w:rPr>
        <w:t>七、启元联系方式</w:t>
      </w:r>
    </w:p>
    <w:p>
      <w:pPr>
        <w:spacing w:line="360" w:lineRule="auto" w:after="120"/>
        <w:jc w:val="both"/>
      </w:pPr>
      <w:r>
        <w:rPr>
          <w:rFonts w:ascii="Times New Roman" w:hAnsi="Times New Roman" w:eastAsia="宋体"/>
          <w:b w:val="0"/>
          <w:sz w:val="24"/>
        </w:rPr>
        <w:t>官方邮箱：【待填】</w:t>
      </w:r>
    </w:p>
    <w:p>
      <w:pPr>
        <w:spacing w:line="360" w:lineRule="auto" w:after="120"/>
        <w:jc w:val="both"/>
      </w:pPr>
      <w:r>
        <w:rPr>
          <w:rFonts w:ascii="Times New Roman" w:hAnsi="Times New Roman" w:eastAsia="宋体"/>
          <w:b w:val="0"/>
          <w:sz w:val="24"/>
        </w:rPr>
        <w:t>客服电话：【待填】</w:t>
      </w:r>
    </w:p>
    <w:p>
      <w:pPr>
        <w:spacing w:line="360" w:lineRule="auto" w:after="120"/>
        <w:jc w:val="both"/>
      </w:pPr>
      <w:r>
        <w:rPr>
          <w:rFonts w:ascii="Times New Roman" w:hAnsi="Times New Roman" w:eastAsia="宋体"/>
          <w:b w:val="0"/>
          <w:sz w:val="24"/>
        </w:rPr>
        <w:t>办公地址：深圳市前海深港现代服务业合作区【待填】</w:t>
      </w:r>
    </w:p>
    <w:p/>
    <w:p>
      <w:pPr>
        <w:spacing w:line="360" w:lineRule="auto" w:after="480"/>
        <w:jc w:val="both"/>
      </w:pPr>
      <w:r>
        <w:rPr>
          <w:rFonts w:ascii="Times New Roman" w:hAnsi="Times New Roman" w:eastAsia="宋体"/>
          <w:b w:val="0"/>
          <w:sz w:val="24"/>
        </w:rPr>
        <w:t>我已完整阅读本告知书的全部内容，知晓账户托付机制的法律含义、权利边界、注意事项及撤回方式，并同意以此为依据签署《账户托付授权书》。</w:t>
      </w:r>
    </w:p>
    <w:p>
      <w:pPr>
        <w:spacing w:line="360" w:lineRule="auto" w:after="480"/>
        <w:jc w:val="both"/>
      </w:pPr>
      <w:r>
        <w:rPr>
          <w:rFonts w:ascii="Times New Roman" w:hAnsi="Times New Roman" w:eastAsia="宋体"/>
          <w:b w:val="0"/>
          <w:sz w:val="24"/>
        </w:rPr>
        <w:t>用户签名：　　　　　　　　日期：　　年　月　日</w:t>
      </w:r>
    </w:p>
    <w:p>
      <w:pPr>
        <w:spacing w:line="360" w:lineRule="auto" w:after="480"/>
        <w:jc w:val="both"/>
      </w:pPr>
      <w:r>
        <w:rPr>
          <w:rFonts w:ascii="Times New Roman" w:hAnsi="Times New Roman" w:eastAsia="宋体"/>
          <w:b w:val="0"/>
          <w:sz w:val="24"/>
        </w:rPr>
        <w:t>启元数字科技（深圳）有限公司（盖章）：　　　　日期：　　年　月　日</w:t>
      </w: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